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E3" w:rsidRDefault="00296AB0" w:rsidP="00741DF8">
      <w:pPr>
        <w:pStyle w:val="Title"/>
        <w:ind w:left="-180" w:right="-630" w:hanging="450"/>
      </w:pPr>
      <w:bookmarkStart w:id="0" w:name="_GoBack"/>
      <w:bookmarkEnd w:id="0"/>
      <w:r>
        <w:t>B</w:t>
      </w:r>
      <w:r w:rsidR="00F23CE3">
        <w:t>UDGET TRANSFER</w:t>
      </w:r>
      <w:r w:rsidR="00741DF8">
        <w:t xml:space="preserve"> GUIDELINES &amp;</w:t>
      </w:r>
      <w:r w:rsidR="00F23CE3">
        <w:t xml:space="preserve"> </w:t>
      </w:r>
      <w:r w:rsidR="00E714B9">
        <w:t>INSTRUCTIONS</w:t>
      </w:r>
    </w:p>
    <w:p w:rsidR="00242EE1" w:rsidRDefault="00242EE1" w:rsidP="00296AB0">
      <w:pPr>
        <w:pStyle w:val="Title"/>
        <w:ind w:left="-180" w:right="-630" w:hanging="450"/>
      </w:pPr>
    </w:p>
    <w:p w:rsidR="00F23CE3" w:rsidRDefault="00F23CE3">
      <w:pPr>
        <w:rPr>
          <w:b/>
        </w:rPr>
      </w:pPr>
    </w:p>
    <w:p w:rsidR="00E714B9" w:rsidRDefault="00E714B9">
      <w:pPr>
        <w:rPr>
          <w:b/>
        </w:rPr>
      </w:pPr>
      <w:r>
        <w:rPr>
          <w:b/>
        </w:rPr>
        <w:t>PURPOSE OF BUDGET TRANSFERS</w:t>
      </w:r>
    </w:p>
    <w:p w:rsidR="00E714B9" w:rsidRDefault="00E714B9">
      <w:pPr>
        <w:rPr>
          <w:b/>
        </w:rPr>
      </w:pPr>
    </w:p>
    <w:p w:rsidR="00E714B9" w:rsidRDefault="00F23CE3" w:rsidP="00741DF8">
      <w:r>
        <w:t>Budget transfe</w:t>
      </w:r>
      <w:r w:rsidR="00741DF8">
        <w:t xml:space="preserve">rs are requests </w:t>
      </w:r>
      <w:r>
        <w:t xml:space="preserve">to move funds after the original budget has been established.  </w:t>
      </w:r>
    </w:p>
    <w:p w:rsidR="00E714B9" w:rsidRDefault="00E714B9" w:rsidP="00E714B9"/>
    <w:p w:rsidR="00AE6A4F" w:rsidRDefault="00C14E41" w:rsidP="00E714B9">
      <w:r>
        <w:t>To e</w:t>
      </w:r>
      <w:r w:rsidR="00AE6A4F">
        <w:t>nsur</w:t>
      </w:r>
      <w:r w:rsidR="00741DF8">
        <w:t xml:space="preserve">e correct reporting to the </w:t>
      </w:r>
      <w:r w:rsidR="00196CF2">
        <w:t>Ohio Department of E</w:t>
      </w:r>
      <w:r w:rsidR="00741DF8">
        <w:t>ducation,</w:t>
      </w:r>
      <w:r w:rsidR="00F871AC">
        <w:t xml:space="preserve"> expenses must be charge</w:t>
      </w:r>
      <w:r w:rsidR="00AE6A4F">
        <w:t>d</w:t>
      </w:r>
      <w:r w:rsidR="00F871AC">
        <w:t xml:space="preserve"> to the department that is actually </w:t>
      </w:r>
      <w:r w:rsidR="00FD77C8">
        <w:t>receiving the service or product</w:t>
      </w:r>
      <w:r w:rsidR="00AE6A4F">
        <w:t>.</w:t>
      </w:r>
    </w:p>
    <w:p w:rsidR="00AE6A4F" w:rsidRDefault="00AE6A4F"/>
    <w:p w:rsidR="0006756A" w:rsidRDefault="0006756A">
      <w:pPr>
        <w:ind w:right="720"/>
        <w:rPr>
          <w:b/>
          <w:bCs/>
        </w:rPr>
      </w:pPr>
    </w:p>
    <w:p w:rsidR="00E714B9" w:rsidRDefault="00E714B9">
      <w:pPr>
        <w:ind w:right="720"/>
        <w:rPr>
          <w:b/>
          <w:bCs/>
        </w:rPr>
      </w:pPr>
      <w:r>
        <w:rPr>
          <w:b/>
          <w:bCs/>
        </w:rPr>
        <w:t>BUDGET TRANSFER PROCEDURES</w:t>
      </w:r>
    </w:p>
    <w:p w:rsidR="00E714B9" w:rsidRDefault="00E714B9">
      <w:pPr>
        <w:ind w:right="720"/>
        <w:rPr>
          <w:b/>
          <w:bCs/>
        </w:rPr>
      </w:pPr>
    </w:p>
    <w:p w:rsidR="00F23CE3" w:rsidRPr="00E714B9" w:rsidRDefault="00F23CE3">
      <w:pPr>
        <w:ind w:right="720"/>
        <w:rPr>
          <w:bCs/>
          <w:u w:val="single"/>
        </w:rPr>
      </w:pPr>
      <w:r w:rsidRPr="00E714B9">
        <w:rPr>
          <w:bCs/>
          <w:u w:val="single"/>
        </w:rPr>
        <w:t>AVAILABILITY OF FUNDS</w:t>
      </w:r>
    </w:p>
    <w:p w:rsidR="00F23CE3" w:rsidRPr="00E714B9" w:rsidRDefault="00F23CE3">
      <w:pPr>
        <w:rPr>
          <w:u w:val="single"/>
        </w:rPr>
      </w:pPr>
    </w:p>
    <w:p w:rsidR="00F23CE3" w:rsidRDefault="00F23CE3">
      <w:r>
        <w:t xml:space="preserve">To prepare a transfer between </w:t>
      </w:r>
      <w:r>
        <w:rPr>
          <w:b/>
          <w:bCs/>
        </w:rPr>
        <w:t>accounts</w:t>
      </w:r>
      <w:r w:rsidR="00FD77C8">
        <w:rPr>
          <w:b/>
          <w:bCs/>
        </w:rPr>
        <w:t xml:space="preserve"> (0180, 0300-0900)</w:t>
      </w:r>
      <w:r>
        <w:t xml:space="preserve">, there must be a positive balance in the account from which the transfer is being made on the “Statement of Operations” report in the “century” total (i.e. accounts in the </w:t>
      </w:r>
      <w:r w:rsidR="000C3490">
        <w:t>0300</w:t>
      </w:r>
      <w:r w:rsidR="00A24243">
        <w:t xml:space="preserve">, </w:t>
      </w:r>
      <w:r w:rsidR="000C3490">
        <w:t>04</w:t>
      </w:r>
      <w:r>
        <w:t>00, etc. series</w:t>
      </w:r>
      <w:r w:rsidR="00A9233E">
        <w:t>)</w:t>
      </w:r>
      <w:r>
        <w:t>.</w:t>
      </w:r>
    </w:p>
    <w:p w:rsidR="00F23CE3" w:rsidRDefault="00F23CE3"/>
    <w:p w:rsidR="00741DF8" w:rsidRDefault="00F23CE3" w:rsidP="0039208A">
      <w:pPr>
        <w:tabs>
          <w:tab w:val="left" w:pos="0"/>
        </w:tabs>
      </w:pPr>
      <w:proofErr w:type="gramStart"/>
      <w:r>
        <w:t xml:space="preserve">To prepare a transfer between </w:t>
      </w:r>
      <w:r>
        <w:rPr>
          <w:b/>
          <w:bCs/>
        </w:rPr>
        <w:t>departments</w:t>
      </w:r>
      <w:r>
        <w:t xml:space="preserve">, there must be a positive balance in the department from which the transfer is being made on the “Statement of Operations” report in </w:t>
      </w:r>
      <w:r w:rsidR="00E714B9">
        <w:t>BOTH the</w:t>
      </w:r>
      <w:r>
        <w:t xml:space="preserve"> “</w:t>
      </w:r>
      <w:r w:rsidR="00FD77C8">
        <w:t>Grand Total” for the department and</w:t>
      </w:r>
      <w:r>
        <w:t xml:space="preserve"> the “century” total</w:t>
      </w:r>
      <w:r w:rsidR="00FD77C8">
        <w:t>.</w:t>
      </w:r>
      <w:proofErr w:type="gramEnd"/>
      <w:r>
        <w:t xml:space="preserve">  If the “Grand Total” is </w:t>
      </w:r>
      <w:r w:rsidR="00741DF8">
        <w:t xml:space="preserve">negative, a budget transfer may </w:t>
      </w:r>
      <w:r>
        <w:t>still be made if the department has inco</w:t>
      </w:r>
      <w:r w:rsidR="0039208A">
        <w:t>me that is tracking on schedule.</w:t>
      </w:r>
    </w:p>
    <w:p w:rsidR="0039208A" w:rsidRDefault="0039208A" w:rsidP="0039208A">
      <w:pPr>
        <w:tabs>
          <w:tab w:val="left" w:pos="0"/>
        </w:tabs>
      </w:pPr>
    </w:p>
    <w:p w:rsidR="00741DF8" w:rsidRDefault="00741DF8" w:rsidP="00741DF8">
      <w:r>
        <w:t xml:space="preserve">Please note that changes cannot be made to </w:t>
      </w:r>
      <w:r w:rsidR="0039208A">
        <w:t>p</w:t>
      </w:r>
      <w:r>
        <w:t>ermanent income lines by budget transfer.   A department may only change the permanent amount of income during budget building.</w:t>
      </w:r>
    </w:p>
    <w:p w:rsidR="00F23CE3" w:rsidRDefault="00F23CE3">
      <w:pPr>
        <w:tabs>
          <w:tab w:val="left" w:pos="0"/>
        </w:tabs>
      </w:pPr>
    </w:p>
    <w:p w:rsidR="00F23CE3" w:rsidRDefault="0039208A">
      <w:pPr>
        <w:tabs>
          <w:tab w:val="left" w:pos="0"/>
        </w:tabs>
      </w:pPr>
      <w:r>
        <w:t>Budget t</w:t>
      </w:r>
      <w:r w:rsidR="00F23CE3">
        <w:t xml:space="preserve">ransfers cannot be prepared between departments in different fund groups </w:t>
      </w:r>
      <w:r w:rsidR="00741DF8">
        <w:t xml:space="preserve">(i.e. transferring from </w:t>
      </w:r>
      <w:proofErr w:type="gramStart"/>
      <w:r w:rsidR="00741DF8">
        <w:t>fund  0010</w:t>
      </w:r>
      <w:proofErr w:type="gramEnd"/>
      <w:r w:rsidR="00741DF8">
        <w:t xml:space="preserve"> to fund 0111</w:t>
      </w:r>
      <w:r w:rsidR="00334C76">
        <w:t>)</w:t>
      </w:r>
      <w:r w:rsidR="00741DF8">
        <w:t>.  A</w:t>
      </w:r>
      <w:r w:rsidR="002728FB">
        <w:t xml:space="preserve">n expense </w:t>
      </w:r>
      <w:r w:rsidR="00741DF8">
        <w:t>can be transferred by submitting</w:t>
      </w:r>
      <w:r w:rsidR="002728FB">
        <w:t xml:space="preserve"> a journal entry to Controller’s Office.</w:t>
      </w:r>
    </w:p>
    <w:p w:rsidR="00F23CE3" w:rsidRDefault="00F23CE3"/>
    <w:p w:rsidR="00F23CE3" w:rsidRPr="00E714B9" w:rsidRDefault="00F23CE3">
      <w:pPr>
        <w:ind w:right="720"/>
        <w:rPr>
          <w:u w:val="single"/>
        </w:rPr>
      </w:pPr>
      <w:r w:rsidRPr="00E714B9">
        <w:rPr>
          <w:u w:val="single"/>
        </w:rPr>
        <w:t>SALARY LINES</w:t>
      </w:r>
    </w:p>
    <w:p w:rsidR="00F23CE3" w:rsidRDefault="00F23CE3">
      <w:pPr>
        <w:ind w:right="720"/>
      </w:pPr>
    </w:p>
    <w:p w:rsidR="00F23CE3" w:rsidRDefault="00F23CE3">
      <w:pPr>
        <w:ind w:right="720"/>
      </w:pPr>
      <w:r>
        <w:t>All budget transfers FROM or TO full time salary accounts must include position numbers.</w:t>
      </w:r>
    </w:p>
    <w:p w:rsidR="00F23CE3" w:rsidRDefault="00F23CE3">
      <w:pPr>
        <w:ind w:right="720"/>
      </w:pPr>
    </w:p>
    <w:p w:rsidR="007F0160" w:rsidRDefault="00A24243">
      <w:pPr>
        <w:ind w:right="720"/>
      </w:pPr>
      <w:r>
        <w:t>All</w:t>
      </w:r>
      <w:r w:rsidR="00F23CE3">
        <w:t xml:space="preserve"> transfer</w:t>
      </w:r>
      <w:r>
        <w:t>s</w:t>
      </w:r>
      <w:r w:rsidR="00F23CE3">
        <w:t xml:space="preserve"> FROM or TO any salary account</w:t>
      </w:r>
      <w:r>
        <w:t xml:space="preserve"> must include</w:t>
      </w:r>
      <w:r w:rsidR="00F23CE3">
        <w:t xml:space="preserve"> the </w:t>
      </w:r>
      <w:r w:rsidR="00FD77C8">
        <w:t>correct f</w:t>
      </w:r>
      <w:r w:rsidR="00281917">
        <w:t>ringe benefit.</w:t>
      </w:r>
      <w:r w:rsidR="00FD77C8">
        <w:t xml:space="preserve">  Fringe</w:t>
      </w:r>
      <w:r w:rsidR="00CF2BEC">
        <w:t xml:space="preserve"> rate and the corresponding codes can be found on the Budget and Financial Analysis webpage at </w:t>
      </w:r>
      <w:hyperlink r:id="rId8" w:history="1">
        <w:r w:rsidR="00CF2BEC" w:rsidRPr="009706FF">
          <w:rPr>
            <w:rStyle w:val="Hyperlink"/>
          </w:rPr>
          <w:t>https://www.csuohio.edu/budget-financial-analysis/input-forms-and-fringe-rates</w:t>
        </w:r>
      </w:hyperlink>
      <w:r w:rsidR="00CF2BEC">
        <w:t>.</w:t>
      </w:r>
    </w:p>
    <w:p w:rsidR="006153E9" w:rsidRDefault="006153E9" w:rsidP="006153E9">
      <w:pPr>
        <w:ind w:right="720"/>
      </w:pPr>
    </w:p>
    <w:p w:rsidR="0006756A" w:rsidRPr="00E714B9" w:rsidRDefault="0006756A" w:rsidP="0006756A">
      <w:pPr>
        <w:pStyle w:val="Heading1"/>
        <w:rPr>
          <w:b w:val="0"/>
          <w:u w:val="single"/>
        </w:rPr>
      </w:pPr>
      <w:r w:rsidRPr="00E714B9">
        <w:rPr>
          <w:b w:val="0"/>
          <w:u w:val="single"/>
        </w:rPr>
        <w:t xml:space="preserve">GRADUATE STIPENDS AND FEE </w:t>
      </w:r>
      <w:r w:rsidR="002B0E67">
        <w:rPr>
          <w:b w:val="0"/>
          <w:u w:val="single"/>
        </w:rPr>
        <w:t>GRANTS</w:t>
      </w:r>
    </w:p>
    <w:p w:rsidR="0006756A" w:rsidRDefault="0006756A" w:rsidP="0006756A">
      <w:pPr>
        <w:pStyle w:val="BodyText"/>
        <w:tabs>
          <w:tab w:val="left" w:pos="8100"/>
        </w:tabs>
        <w:ind w:right="630"/>
      </w:pPr>
    </w:p>
    <w:p w:rsidR="0006756A" w:rsidRDefault="0006756A" w:rsidP="0006756A">
      <w:pPr>
        <w:pStyle w:val="BodyText"/>
        <w:tabs>
          <w:tab w:val="left" w:pos="8100"/>
        </w:tabs>
        <w:ind w:right="630"/>
      </w:pPr>
      <w:r>
        <w:t xml:space="preserve">The funds that are allocated from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Graduate Studies</w:t>
          </w:r>
        </w:smartTag>
      </w:smartTag>
      <w:r>
        <w:t xml:space="preserve"> for graduate stipends and fee </w:t>
      </w:r>
      <w:r w:rsidR="00C14E41">
        <w:t>grants</w:t>
      </w:r>
      <w:r>
        <w:t xml:space="preserve"> can only be used for these purposes.  The funds can only be transferred between accounts 0152, 0156 and 0255.  Include the fringe amount with gradu</w:t>
      </w:r>
      <w:r w:rsidR="00C14E41">
        <w:t>ate payroll accounts (0152</w:t>
      </w:r>
      <w:r>
        <w:t xml:space="preserve"> and 0156) when making transfers.</w:t>
      </w:r>
    </w:p>
    <w:p w:rsidR="0006756A" w:rsidRPr="00301969" w:rsidRDefault="0006756A" w:rsidP="0006756A"/>
    <w:p w:rsidR="0006756A" w:rsidRPr="00E714B9" w:rsidRDefault="0006756A" w:rsidP="0006756A">
      <w:pPr>
        <w:ind w:right="720"/>
        <w:rPr>
          <w:u w:val="single"/>
        </w:rPr>
      </w:pPr>
      <w:r w:rsidRPr="00E714B9">
        <w:rPr>
          <w:u w:val="single"/>
        </w:rPr>
        <w:t>CARRYOVER (CARRY FORWARD) (0999)</w:t>
      </w:r>
    </w:p>
    <w:p w:rsidR="0006756A" w:rsidRDefault="0006756A" w:rsidP="0006756A">
      <w:pPr>
        <w:ind w:right="720"/>
      </w:pPr>
    </w:p>
    <w:p w:rsidR="0006756A" w:rsidRDefault="0006756A" w:rsidP="0006756A">
      <w:pPr>
        <w:ind w:right="720"/>
      </w:pPr>
      <w:r>
        <w:t>Carryover funds from the previous year should be redistributed into other operating lines, and must be received by May 31 of that fiscal year.</w:t>
      </w:r>
      <w:r w:rsidRPr="0006756A">
        <w:t xml:space="preserve"> </w:t>
      </w:r>
      <w:r>
        <w:t>Transfers to 0999 will only be accepted for cost share accounts that had a negative carryover from the year before.</w:t>
      </w:r>
    </w:p>
    <w:p w:rsidR="00196CF2" w:rsidRDefault="00196CF2" w:rsidP="0006756A">
      <w:pPr>
        <w:ind w:right="720"/>
        <w:rPr>
          <w:u w:val="single"/>
        </w:rPr>
      </w:pPr>
    </w:p>
    <w:p w:rsidR="0039208A" w:rsidRDefault="0039208A" w:rsidP="0006756A">
      <w:pPr>
        <w:ind w:right="720"/>
        <w:rPr>
          <w:u w:val="single"/>
        </w:rPr>
      </w:pPr>
    </w:p>
    <w:p w:rsidR="0039208A" w:rsidRDefault="0039208A" w:rsidP="0006756A">
      <w:pPr>
        <w:ind w:right="720"/>
        <w:rPr>
          <w:u w:val="single"/>
        </w:rPr>
      </w:pPr>
    </w:p>
    <w:p w:rsidR="0006756A" w:rsidRPr="0006756A" w:rsidRDefault="0006756A" w:rsidP="0006756A">
      <w:pPr>
        <w:ind w:right="720"/>
      </w:pPr>
      <w:r w:rsidRPr="00E714B9">
        <w:rPr>
          <w:u w:val="single"/>
        </w:rPr>
        <w:lastRenderedPageBreak/>
        <w:t xml:space="preserve">COST SHARE, PI, STARTUP, </w:t>
      </w:r>
      <w:r w:rsidR="00334C76">
        <w:rPr>
          <w:u w:val="single"/>
        </w:rPr>
        <w:t xml:space="preserve"> &amp; </w:t>
      </w:r>
      <w:r w:rsidRPr="00E714B9">
        <w:rPr>
          <w:u w:val="single"/>
        </w:rPr>
        <w:t>SUMMER UNDERGRAD</w:t>
      </w:r>
    </w:p>
    <w:p w:rsidR="0006756A" w:rsidRDefault="0006756A" w:rsidP="0006756A">
      <w:pPr>
        <w:rPr>
          <w:b/>
        </w:rPr>
      </w:pPr>
    </w:p>
    <w:p w:rsidR="0006756A" w:rsidRDefault="0006756A" w:rsidP="0006756A">
      <w:r>
        <w:t xml:space="preserve">The above </w:t>
      </w:r>
      <w:r w:rsidR="0039208A">
        <w:t>project ID’s</w:t>
      </w:r>
      <w:r>
        <w:t xml:space="preserve"> and other</w:t>
      </w:r>
      <w:r w:rsidR="0039208A">
        <w:t>s that include a number in the p</w:t>
      </w:r>
      <w:r>
        <w:t>roject field and are monitored by the Office of Sponsored Programs and Research need approved by SPRS.</w:t>
      </w:r>
    </w:p>
    <w:p w:rsidR="0006756A" w:rsidRDefault="0006756A" w:rsidP="006153E9">
      <w:pPr>
        <w:ind w:right="720"/>
      </w:pPr>
    </w:p>
    <w:p w:rsidR="006153E9" w:rsidRPr="00E714B9" w:rsidRDefault="006153E9" w:rsidP="006153E9">
      <w:pPr>
        <w:ind w:right="720"/>
        <w:rPr>
          <w:bCs/>
          <w:u w:val="single"/>
        </w:rPr>
      </w:pPr>
      <w:r w:rsidRPr="00E714B9">
        <w:rPr>
          <w:bCs/>
          <w:u w:val="single"/>
        </w:rPr>
        <w:t>SIGNATURES</w:t>
      </w:r>
    </w:p>
    <w:p w:rsidR="006153E9" w:rsidRDefault="006153E9" w:rsidP="006153E9">
      <w:pPr>
        <w:ind w:right="720"/>
      </w:pPr>
    </w:p>
    <w:p w:rsidR="00A9233E" w:rsidRDefault="00A9233E" w:rsidP="00A9233E">
      <w:pPr>
        <w:ind w:right="720"/>
      </w:pPr>
      <w:r>
        <w:t xml:space="preserve">All salary transfers for academic units must have the </w:t>
      </w:r>
      <w:r w:rsidR="00741DF8">
        <w:t>Budget Manager (or designee)</w:t>
      </w:r>
      <w:r>
        <w:t xml:space="preserve"> approval </w:t>
      </w:r>
      <w:r>
        <w:rPr>
          <w:b/>
        </w:rPr>
        <w:t xml:space="preserve">and </w:t>
      </w:r>
      <w:r>
        <w:t xml:space="preserve">the Provost’s </w:t>
      </w:r>
      <w:r w:rsidR="00741DF8">
        <w:t xml:space="preserve">Office </w:t>
      </w:r>
      <w:r>
        <w:t xml:space="preserve">signature with the exception of part-time accounts 0115 &amp; 0135, overtime and student accounts.  </w:t>
      </w:r>
    </w:p>
    <w:p w:rsidR="00A9233E" w:rsidRDefault="00A9233E" w:rsidP="006153E9">
      <w:pPr>
        <w:ind w:right="720"/>
      </w:pPr>
    </w:p>
    <w:p w:rsidR="006153E9" w:rsidRDefault="006153E9" w:rsidP="006153E9">
      <w:pPr>
        <w:ind w:right="720"/>
      </w:pPr>
      <w:r>
        <w:t xml:space="preserve">Please follow the current </w:t>
      </w:r>
      <w:r w:rsidR="0039208A">
        <w:t>approved signature policy for  unrestricted fund b</w:t>
      </w:r>
      <w:r>
        <w:t xml:space="preserve">udget </w:t>
      </w:r>
      <w:r w:rsidR="0039208A">
        <w:t>t</w:t>
      </w:r>
      <w:r>
        <w:t>ransfers:</w:t>
      </w:r>
      <w:r w:rsidRPr="006153E9">
        <w:t xml:space="preserve"> </w:t>
      </w:r>
    </w:p>
    <w:p w:rsidR="006153E9" w:rsidRDefault="00C14E41" w:rsidP="006153E9">
      <w:pPr>
        <w:ind w:right="720"/>
      </w:pPr>
      <w:r>
        <w:t xml:space="preserve"> </w:t>
      </w:r>
    </w:p>
    <w:p w:rsidR="006153E9" w:rsidRDefault="00C14E41" w:rsidP="006153E9">
      <w:pPr>
        <w:ind w:right="720"/>
      </w:pPr>
      <w:r w:rsidRPr="00C14E41">
        <w:rPr>
          <w:noProof/>
        </w:rPr>
        <w:drawing>
          <wp:inline distT="0" distB="0" distL="0" distR="0">
            <wp:extent cx="5486400" cy="541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E9" w:rsidRDefault="006153E9" w:rsidP="006153E9">
      <w:pPr>
        <w:ind w:right="720"/>
      </w:pPr>
    </w:p>
    <w:p w:rsidR="007133AF" w:rsidRDefault="007F0160">
      <w:pPr>
        <w:ind w:right="720"/>
      </w:pPr>
      <w:r>
        <w:tab/>
      </w:r>
      <w:r>
        <w:tab/>
      </w:r>
      <w:r w:rsidR="00CB65E0">
        <w:t xml:space="preserve">                           </w:t>
      </w:r>
    </w:p>
    <w:p w:rsidR="00E64F1D" w:rsidRDefault="00E64F1D" w:rsidP="00A24243"/>
    <w:p w:rsidR="00F23CE3" w:rsidRDefault="00F23CE3" w:rsidP="00551D29">
      <w:pPr>
        <w:ind w:right="720"/>
      </w:pPr>
      <w:r>
        <w:tab/>
      </w:r>
    </w:p>
    <w:p w:rsidR="00714A33" w:rsidRDefault="00714A33">
      <w:pPr>
        <w:ind w:right="720"/>
        <w:rPr>
          <w:b/>
          <w:bCs/>
          <w:u w:val="single"/>
        </w:rPr>
      </w:pPr>
    </w:p>
    <w:p w:rsidR="00C14E41" w:rsidRDefault="00C14E41">
      <w:pPr>
        <w:ind w:right="720"/>
        <w:rPr>
          <w:b/>
          <w:bCs/>
          <w:u w:val="single"/>
        </w:rPr>
      </w:pPr>
    </w:p>
    <w:p w:rsidR="00551D29" w:rsidRDefault="00551D29">
      <w:pPr>
        <w:ind w:right="720"/>
        <w:rPr>
          <w:b/>
          <w:bCs/>
          <w:u w:val="single"/>
        </w:rPr>
      </w:pPr>
      <w:r w:rsidRPr="00F21989">
        <w:rPr>
          <w:b/>
          <w:bCs/>
          <w:u w:val="single"/>
        </w:rPr>
        <w:lastRenderedPageBreak/>
        <w:t>COMPLETING THE BUDGET TRANSFER REQUEST</w:t>
      </w:r>
    </w:p>
    <w:p w:rsidR="00F21989" w:rsidRDefault="00F21989">
      <w:pPr>
        <w:ind w:right="720"/>
        <w:rPr>
          <w:b/>
          <w:bCs/>
          <w:u w:val="single"/>
        </w:rPr>
      </w:pPr>
    </w:p>
    <w:p w:rsidR="00F21989" w:rsidRDefault="0006756A">
      <w:pPr>
        <w:ind w:right="720"/>
      </w:pPr>
      <w:r>
        <w:t xml:space="preserve">Use the </w:t>
      </w:r>
      <w:r w:rsidR="00F21989">
        <w:t xml:space="preserve"> Budget Transfer Request </w:t>
      </w:r>
      <w:r w:rsidR="0016523E">
        <w:t xml:space="preserve">form </w:t>
      </w:r>
      <w:r>
        <w:t>dated</w:t>
      </w:r>
      <w:r w:rsidR="00F21989">
        <w:t xml:space="preserve"> May 2019</w:t>
      </w:r>
      <w:r>
        <w:t>.</w:t>
      </w:r>
      <w:r w:rsidR="00F21989">
        <w:t xml:space="preserve">  The Budget Transfer Request form can be found on the Budget webpage at </w:t>
      </w:r>
      <w:hyperlink r:id="rId10" w:history="1">
        <w:r w:rsidR="00475613" w:rsidRPr="00DC2035">
          <w:rPr>
            <w:rStyle w:val="Hyperlink"/>
          </w:rPr>
          <w:t>https://www.csuohio.edu/budget-financial-analysis/input-forms-and-fringe-rates</w:t>
        </w:r>
      </w:hyperlink>
      <w:r w:rsidR="00475613">
        <w:t>.</w:t>
      </w:r>
    </w:p>
    <w:p w:rsidR="00475613" w:rsidRDefault="00475613">
      <w:pPr>
        <w:ind w:right="720"/>
        <w:rPr>
          <w:b/>
          <w:bCs/>
        </w:rPr>
      </w:pPr>
    </w:p>
    <w:p w:rsidR="007961F6" w:rsidRDefault="007961F6" w:rsidP="007961F6">
      <w:pPr>
        <w:pStyle w:val="ListParagraph"/>
        <w:numPr>
          <w:ilvl w:val="0"/>
          <w:numId w:val="5"/>
        </w:numPr>
      </w:pPr>
      <w:r>
        <w:t xml:space="preserve">From the drop down menu, select Perm or Temp to designate if the transfer is for the permanent or temporary budget.  Permanent and temporary budget transfers </w:t>
      </w:r>
      <w:r w:rsidR="0039208A">
        <w:t>cannot</w:t>
      </w:r>
      <w:r>
        <w:t xml:space="preserve"> be submitted on the same form.</w:t>
      </w:r>
    </w:p>
    <w:p w:rsidR="007961F6" w:rsidRDefault="007961F6" w:rsidP="007961F6"/>
    <w:p w:rsidR="00F21989" w:rsidRPr="00292E94" w:rsidRDefault="0016523E" w:rsidP="00292E94">
      <w:pPr>
        <w:pStyle w:val="ListParagraph"/>
        <w:numPr>
          <w:ilvl w:val="0"/>
          <w:numId w:val="5"/>
        </w:numPr>
        <w:ind w:right="720"/>
        <w:rPr>
          <w:bCs/>
        </w:rPr>
      </w:pPr>
      <w:r w:rsidRPr="004E3502">
        <w:rPr>
          <w:bCs/>
        </w:rPr>
        <w:t xml:space="preserve">Enter the BTR#.  </w:t>
      </w:r>
      <w:r w:rsidR="00F21989" w:rsidRPr="004E3502">
        <w:rPr>
          <w:bCs/>
        </w:rPr>
        <w:t xml:space="preserve">The BTR should be the </w:t>
      </w:r>
      <w:proofErr w:type="gramStart"/>
      <w:r w:rsidR="00F21989" w:rsidRPr="004E3502">
        <w:rPr>
          <w:bCs/>
        </w:rPr>
        <w:t>3</w:t>
      </w:r>
      <w:proofErr w:type="gramEnd"/>
      <w:r w:rsidR="00F21989" w:rsidRPr="004E3502">
        <w:rPr>
          <w:bCs/>
        </w:rPr>
        <w:t xml:space="preserve"> or 4 characters that identify your college or unit, 2 digits </w:t>
      </w:r>
      <w:r w:rsidR="00292E94">
        <w:rPr>
          <w:bCs/>
        </w:rPr>
        <w:t xml:space="preserve">to identify the fiscal year, </w:t>
      </w:r>
      <w:r w:rsidR="00F21989" w:rsidRPr="004E3502">
        <w:rPr>
          <w:bCs/>
        </w:rPr>
        <w:t>3 digits to track the sequence</w:t>
      </w:r>
      <w:r w:rsidR="00292E94">
        <w:rPr>
          <w:bCs/>
        </w:rPr>
        <w:t xml:space="preserve"> and P or T as a type indicator</w:t>
      </w:r>
      <w:r w:rsidR="00F21989" w:rsidRPr="004E3502">
        <w:rPr>
          <w:bCs/>
        </w:rPr>
        <w:t xml:space="preserve">.  </w:t>
      </w:r>
      <w:r w:rsidR="00F21989" w:rsidRPr="00292E94">
        <w:rPr>
          <w:bCs/>
        </w:rPr>
        <w:t>Example:  The College of Education’s first BTR in FY20 would be EDU20-001</w:t>
      </w:r>
      <w:r w:rsidR="00292E94">
        <w:rPr>
          <w:bCs/>
        </w:rPr>
        <w:t xml:space="preserve">T for a </w:t>
      </w:r>
      <w:proofErr w:type="gramStart"/>
      <w:r w:rsidR="00292E94">
        <w:rPr>
          <w:bCs/>
        </w:rPr>
        <w:t>temp</w:t>
      </w:r>
      <w:proofErr w:type="gramEnd"/>
      <w:r w:rsidR="00292E94">
        <w:rPr>
          <w:bCs/>
        </w:rPr>
        <w:t xml:space="preserve"> BTT</w:t>
      </w:r>
      <w:r w:rsidR="007961F6" w:rsidRPr="00292E94">
        <w:rPr>
          <w:bCs/>
        </w:rPr>
        <w:t xml:space="preserve"> but if a position is being funded in both Perm and Temp, the tracking number would be EDU20-001P and EDU20-001T respectively.</w:t>
      </w:r>
    </w:p>
    <w:p w:rsidR="00551D29" w:rsidRDefault="00551D29">
      <w:pPr>
        <w:ind w:right="720"/>
        <w:rPr>
          <w:b/>
          <w:bCs/>
        </w:rPr>
      </w:pPr>
    </w:p>
    <w:p w:rsidR="0016523E" w:rsidRDefault="0016523E" w:rsidP="004E3502">
      <w:pPr>
        <w:pStyle w:val="ListParagraph"/>
        <w:numPr>
          <w:ilvl w:val="0"/>
          <w:numId w:val="5"/>
        </w:numPr>
      </w:pPr>
      <w:r>
        <w:t xml:space="preserve">Enter the </w:t>
      </w:r>
      <w:r w:rsidR="00C14E41">
        <w:t xml:space="preserve">name of the </w:t>
      </w:r>
      <w:r>
        <w:t xml:space="preserve">Department submitting the </w:t>
      </w:r>
      <w:r w:rsidR="00F91E9B">
        <w:t xml:space="preserve">“From” funds </w:t>
      </w:r>
      <w:r>
        <w:t>request and the date.</w:t>
      </w:r>
    </w:p>
    <w:p w:rsidR="0016523E" w:rsidRDefault="0016523E" w:rsidP="00F21989"/>
    <w:p w:rsidR="00807243" w:rsidRDefault="0016523E" w:rsidP="004E3502">
      <w:pPr>
        <w:pStyle w:val="ListParagraph"/>
        <w:numPr>
          <w:ilvl w:val="0"/>
          <w:numId w:val="5"/>
        </w:numPr>
      </w:pPr>
      <w:r>
        <w:t xml:space="preserve">Enter the </w:t>
      </w:r>
      <w:proofErr w:type="spellStart"/>
      <w:r w:rsidR="007B3C82">
        <w:t>chartfield</w:t>
      </w:r>
      <w:proofErr w:type="spellEnd"/>
      <w:r>
        <w:t xml:space="preserve"> from which funds are being</w:t>
      </w:r>
      <w:r w:rsidR="007B3C82">
        <w:t xml:space="preserve"> transferred and where the fund</w:t>
      </w:r>
      <w:r w:rsidR="00C14E41">
        <w:t>s are</w:t>
      </w:r>
      <w:r>
        <w:t xml:space="preserve"> being transferred to.  </w:t>
      </w:r>
      <w:r w:rsidR="00807243">
        <w:t>This combination should consist of a 4 digit Account code, 4 digit Fund, 4 digit Department a</w:t>
      </w:r>
      <w:r w:rsidR="007B3C82">
        <w:t xml:space="preserve">nd 2 digit Program code.  Some </w:t>
      </w:r>
      <w:proofErr w:type="spellStart"/>
      <w:r w:rsidR="0039208A">
        <w:t>chartfield</w:t>
      </w:r>
      <w:proofErr w:type="spellEnd"/>
      <w:r w:rsidR="0039208A">
        <w:t xml:space="preserve"> strings</w:t>
      </w:r>
      <w:r w:rsidR="00807243">
        <w:t xml:space="preserve"> will also have a 5 digit Class and</w:t>
      </w:r>
      <w:r w:rsidR="000D6AEC">
        <w:t>/or</w:t>
      </w:r>
      <w:r w:rsidR="00807243">
        <w:t xml:space="preserve"> a Project ID not to exceed 10 characters.</w:t>
      </w:r>
    </w:p>
    <w:p w:rsidR="00807243" w:rsidRDefault="00807243" w:rsidP="0016523E"/>
    <w:p w:rsidR="00807243" w:rsidRDefault="0016523E" w:rsidP="004E3502">
      <w:pPr>
        <w:pStyle w:val="ListParagraph"/>
        <w:numPr>
          <w:ilvl w:val="0"/>
          <w:numId w:val="5"/>
        </w:numPr>
      </w:pPr>
      <w:r>
        <w:t>Enter the amount</w:t>
      </w:r>
      <w:r w:rsidR="00807243">
        <w:t xml:space="preserve">.  Please note on the Budget Transfer </w:t>
      </w:r>
      <w:proofErr w:type="spellStart"/>
      <w:r w:rsidR="00807243">
        <w:t>form</w:t>
      </w:r>
      <w:proofErr w:type="spellEnd"/>
      <w:r w:rsidR="00807243">
        <w:t xml:space="preserve"> the “FROM" is a credit which </w:t>
      </w:r>
      <w:r w:rsidR="00807243" w:rsidRPr="004E3502">
        <w:rPr>
          <w:b/>
        </w:rPr>
        <w:t>reduces</w:t>
      </w:r>
      <w:r w:rsidR="00807243">
        <w:t xml:space="preserve"> the budget and the “TO” is a debit which </w:t>
      </w:r>
      <w:r w:rsidR="00807243" w:rsidRPr="004E3502">
        <w:rPr>
          <w:b/>
        </w:rPr>
        <w:t>increase</w:t>
      </w:r>
      <w:r w:rsidR="007B3C82">
        <w:rPr>
          <w:b/>
        </w:rPr>
        <w:t>s</w:t>
      </w:r>
      <w:r w:rsidR="00807243">
        <w:t xml:space="preserve"> the budget.</w:t>
      </w:r>
      <w:r w:rsidR="00807243" w:rsidRPr="004E3502">
        <w:rPr>
          <w:b/>
        </w:rPr>
        <w:t xml:space="preserve">  </w:t>
      </w:r>
      <w:r w:rsidR="00807243">
        <w:t>The template is designed that only whole numbers can be inserted and the “From” side will only accept a negative number.</w:t>
      </w:r>
    </w:p>
    <w:p w:rsidR="00807243" w:rsidRDefault="00807243" w:rsidP="00807243"/>
    <w:p w:rsidR="00C14E41" w:rsidRDefault="0039208A" w:rsidP="00C14E41">
      <w:pPr>
        <w:pStyle w:val="ListParagraph"/>
        <w:numPr>
          <w:ilvl w:val="0"/>
          <w:numId w:val="5"/>
        </w:numPr>
      </w:pPr>
      <w:r>
        <w:t>Enter the position n</w:t>
      </w:r>
      <w:r w:rsidR="00807243">
        <w:t>umber for salary lines  0110,0111,0120,0121</w:t>
      </w:r>
      <w:r w:rsidR="00F91E9B">
        <w:t>,0123</w:t>
      </w:r>
      <w:r w:rsidR="00807243">
        <w:t xml:space="preserve"> and 0130.</w:t>
      </w:r>
    </w:p>
    <w:p w:rsidR="00C14E41" w:rsidRDefault="00C14E41" w:rsidP="00C14E41">
      <w:pPr>
        <w:pStyle w:val="ListParagraph"/>
      </w:pPr>
    </w:p>
    <w:p w:rsidR="009F673B" w:rsidRPr="00C14E41" w:rsidRDefault="009F673B" w:rsidP="00C14E41">
      <w:pPr>
        <w:pStyle w:val="ListParagraph"/>
        <w:numPr>
          <w:ilvl w:val="0"/>
          <w:numId w:val="5"/>
        </w:numPr>
      </w:pPr>
      <w:r>
        <w:t xml:space="preserve">Enter a short description not to exceed 30 characters.  </w:t>
      </w:r>
      <w:r w:rsidRPr="00C14E41">
        <w:rPr>
          <w:b/>
        </w:rPr>
        <w:t xml:space="preserve">Always begin with the BTR# </w:t>
      </w:r>
      <w:r>
        <w:t>and do not include commas</w:t>
      </w:r>
      <w:r w:rsidRPr="00C14E41">
        <w:rPr>
          <w:b/>
        </w:rPr>
        <w:t>.</w:t>
      </w:r>
      <w:r w:rsidR="00600889">
        <w:t xml:space="preserve">  This </w:t>
      </w:r>
      <w:r w:rsidR="0039208A">
        <w:t>description will appear on the t</w:t>
      </w:r>
      <w:r w:rsidR="00600889">
        <w:t>ransaction register.</w:t>
      </w:r>
    </w:p>
    <w:p w:rsidR="009F673B" w:rsidRDefault="009F673B" w:rsidP="00807243">
      <w:pPr>
        <w:rPr>
          <w:b/>
        </w:rPr>
      </w:pPr>
    </w:p>
    <w:p w:rsidR="00C81441" w:rsidRDefault="004E3502" w:rsidP="0007059A">
      <w:pPr>
        <w:pStyle w:val="ListParagraph"/>
        <w:numPr>
          <w:ilvl w:val="0"/>
          <w:numId w:val="5"/>
        </w:numPr>
      </w:pPr>
      <w:r>
        <w:t xml:space="preserve">The BTR form has </w:t>
      </w:r>
      <w:r w:rsidR="00600889">
        <w:t xml:space="preserve">a </w:t>
      </w:r>
      <w:r>
        <w:t>limit</w:t>
      </w:r>
      <w:r w:rsidR="00600889">
        <w:t>ed</w:t>
      </w:r>
      <w:r>
        <w:t xml:space="preserve"> n</w:t>
      </w:r>
      <w:r w:rsidR="009F673B">
        <w:t>umber of lines</w:t>
      </w:r>
      <w:r>
        <w:t>.</w:t>
      </w:r>
      <w:r w:rsidR="0001006D">
        <w:t xml:space="preserve">  </w:t>
      </w:r>
      <w:r w:rsidR="00F91E9B">
        <w:t>L</w:t>
      </w:r>
      <w:r w:rsidR="009F673B">
        <w:t>ines may not be deleted or added.</w:t>
      </w:r>
      <w:r w:rsidR="0001006D">
        <w:t xml:space="preserve">  </w:t>
      </w:r>
      <w:r w:rsidR="009F673B">
        <w:t>If additional lines are needed, use the Lo</w:t>
      </w:r>
      <w:r w:rsidR="000D7D39">
        <w:t xml:space="preserve">ng </w:t>
      </w:r>
      <w:r w:rsidR="009F673B">
        <w:t>BTR form which is the 2</w:t>
      </w:r>
      <w:r w:rsidR="009F673B" w:rsidRPr="00C81441">
        <w:rPr>
          <w:vertAlign w:val="superscript"/>
        </w:rPr>
        <w:t>nd</w:t>
      </w:r>
      <w:r w:rsidR="009F673B">
        <w:t xml:space="preserve"> </w:t>
      </w:r>
      <w:r w:rsidR="0001006D">
        <w:t>page</w:t>
      </w:r>
      <w:r w:rsidR="00DB321F">
        <w:t xml:space="preserve"> and does allow for additional lines</w:t>
      </w:r>
      <w:r w:rsidR="009F673B">
        <w:t>.</w:t>
      </w:r>
      <w:r w:rsidR="0001006D">
        <w:t xml:space="preserve">  The first page is still completed</w:t>
      </w:r>
      <w:r w:rsidR="00C81441">
        <w:t>; However instead of lis</w:t>
      </w:r>
      <w:r w:rsidR="001C5B21">
        <w:t xml:space="preserve">ting individual accounts, enter one amount </w:t>
      </w:r>
      <w:r w:rsidR="00C81441">
        <w:t xml:space="preserve"> and in the d</w:t>
      </w:r>
      <w:r w:rsidR="006B555E">
        <w:t>escription enter “See attached”.  See step 15 for additional instructions on the long BTR form.</w:t>
      </w:r>
    </w:p>
    <w:p w:rsidR="00C81441" w:rsidRDefault="00C81441" w:rsidP="00C81441"/>
    <w:p w:rsidR="009F673B" w:rsidRDefault="009F673B" w:rsidP="004E3502">
      <w:pPr>
        <w:pStyle w:val="ListParagraph"/>
        <w:numPr>
          <w:ilvl w:val="0"/>
          <w:numId w:val="5"/>
        </w:numPr>
      </w:pPr>
      <w:r>
        <w:t>Do not skip rows between entries.</w:t>
      </w:r>
    </w:p>
    <w:p w:rsidR="009F673B" w:rsidRDefault="009F673B" w:rsidP="00807243">
      <w:pPr>
        <w:rPr>
          <w:b/>
        </w:rPr>
      </w:pPr>
    </w:p>
    <w:p w:rsidR="009F673B" w:rsidRPr="009F673B" w:rsidRDefault="009F673B" w:rsidP="004E3502">
      <w:pPr>
        <w:pStyle w:val="ListParagraph"/>
        <w:numPr>
          <w:ilvl w:val="0"/>
          <w:numId w:val="5"/>
        </w:numPr>
      </w:pPr>
      <w:r>
        <w:t>Totals  - Debits and credits must be equal.</w:t>
      </w:r>
    </w:p>
    <w:p w:rsidR="006417F4" w:rsidRPr="00807243" w:rsidRDefault="006417F4" w:rsidP="00807243"/>
    <w:p w:rsidR="00F23CE3" w:rsidRDefault="00F23CE3" w:rsidP="004E3502">
      <w:pPr>
        <w:pStyle w:val="ListParagraph"/>
        <w:numPr>
          <w:ilvl w:val="0"/>
          <w:numId w:val="5"/>
        </w:numPr>
        <w:ind w:right="720"/>
      </w:pPr>
      <w:r>
        <w:t>The reason for request must be completed</w:t>
      </w:r>
      <w:r w:rsidR="009F673B">
        <w:t xml:space="preserve"> and </w:t>
      </w:r>
      <w:r w:rsidR="00B75B91">
        <w:t>allows for</w:t>
      </w:r>
      <w:r w:rsidR="009F673B">
        <w:t xml:space="preserve"> </w:t>
      </w:r>
      <w:r w:rsidR="00B75B91">
        <w:t>more detailed information to be provided</w:t>
      </w:r>
      <w:r w:rsidR="00600889">
        <w:t xml:space="preserve"> than the description field</w:t>
      </w:r>
      <w:r>
        <w:t xml:space="preserve">.  </w:t>
      </w:r>
      <w:r w:rsidR="0065083D">
        <w:t>If the BTR contains any full or part-time salary lines, the employee name and effective date needs to be included.</w:t>
      </w:r>
    </w:p>
    <w:p w:rsidR="00B75B91" w:rsidRDefault="00B75B91">
      <w:pPr>
        <w:ind w:right="720"/>
      </w:pPr>
    </w:p>
    <w:p w:rsidR="00B75B91" w:rsidRDefault="00B75B91" w:rsidP="004E3502">
      <w:pPr>
        <w:pStyle w:val="ListParagraph"/>
        <w:numPr>
          <w:ilvl w:val="0"/>
          <w:numId w:val="5"/>
        </w:numPr>
        <w:ind w:right="720"/>
      </w:pPr>
      <w:r>
        <w:t xml:space="preserve">The preparer </w:t>
      </w:r>
      <w:r w:rsidR="00AC2771">
        <w:t>types their name</w:t>
      </w:r>
      <w:r>
        <w:t xml:space="preserve"> and dates the BTR.</w:t>
      </w:r>
    </w:p>
    <w:p w:rsidR="00B75B91" w:rsidRDefault="00B75B91">
      <w:pPr>
        <w:ind w:right="720"/>
      </w:pPr>
    </w:p>
    <w:p w:rsidR="00B75B91" w:rsidRDefault="00B75B91" w:rsidP="004E3502">
      <w:pPr>
        <w:pStyle w:val="ListParagraph"/>
        <w:numPr>
          <w:ilvl w:val="0"/>
          <w:numId w:val="5"/>
        </w:numPr>
        <w:ind w:right="720"/>
      </w:pPr>
      <w:r>
        <w:t xml:space="preserve">Save the BTR in </w:t>
      </w:r>
      <w:r w:rsidR="0039208A">
        <w:t>e</w:t>
      </w:r>
      <w:r>
        <w:t>xcel format.</w:t>
      </w:r>
    </w:p>
    <w:p w:rsidR="00C81441" w:rsidRDefault="00C81441" w:rsidP="00C81441">
      <w:pPr>
        <w:pStyle w:val="ListParagraph"/>
      </w:pPr>
    </w:p>
    <w:p w:rsidR="00714A33" w:rsidRDefault="00B75B91" w:rsidP="009E0543">
      <w:pPr>
        <w:pStyle w:val="ListParagraph"/>
        <w:numPr>
          <w:ilvl w:val="0"/>
          <w:numId w:val="5"/>
        </w:numPr>
        <w:ind w:right="720"/>
      </w:pPr>
      <w:r>
        <w:t>If additional approvals are required, the BTR is emailed</w:t>
      </w:r>
      <w:r w:rsidR="00475613">
        <w:t xml:space="preserve"> in the excel format</w:t>
      </w:r>
      <w:r>
        <w:t xml:space="preserve"> to that approver to sign who will then forward to the budget office.</w:t>
      </w:r>
      <w:r w:rsidR="001C5B21">
        <w:t xml:space="preserve">  Do not copy </w:t>
      </w:r>
      <w:r w:rsidR="00DB321F">
        <w:t>the budget office when obtaining additional approvals.</w:t>
      </w:r>
    </w:p>
    <w:p w:rsidR="006B555E" w:rsidRDefault="006B555E" w:rsidP="006B555E">
      <w:pPr>
        <w:pStyle w:val="ListParagraph"/>
      </w:pPr>
    </w:p>
    <w:p w:rsidR="006B555E" w:rsidRDefault="00DB321F" w:rsidP="004E3502">
      <w:pPr>
        <w:pStyle w:val="ListParagraph"/>
        <w:numPr>
          <w:ilvl w:val="0"/>
          <w:numId w:val="5"/>
        </w:numPr>
        <w:ind w:right="720"/>
      </w:pPr>
      <w:r>
        <w:lastRenderedPageBreak/>
        <w:t>Additional</w:t>
      </w:r>
      <w:r w:rsidR="006B555E">
        <w:t xml:space="preserve"> instructions</w:t>
      </w:r>
      <w:r>
        <w:t xml:space="preserve"> for long form</w:t>
      </w:r>
    </w:p>
    <w:p w:rsidR="006B555E" w:rsidRDefault="006B555E" w:rsidP="006B555E">
      <w:pPr>
        <w:pStyle w:val="ListParagraph"/>
      </w:pPr>
    </w:p>
    <w:p w:rsidR="006B555E" w:rsidRDefault="006B555E" w:rsidP="00DB321F">
      <w:pPr>
        <w:pStyle w:val="ListParagraph"/>
        <w:numPr>
          <w:ilvl w:val="1"/>
          <w:numId w:val="6"/>
        </w:numPr>
        <w:ind w:right="720"/>
      </w:pPr>
      <w:r>
        <w:t>Fill in the date using 2 digit month 2 digit day four digit year.  Example: 05312019</w:t>
      </w:r>
    </w:p>
    <w:p w:rsidR="006B555E" w:rsidRDefault="006B555E" w:rsidP="00DB321F">
      <w:pPr>
        <w:pStyle w:val="ListParagraph"/>
        <w:numPr>
          <w:ilvl w:val="1"/>
          <w:numId w:val="6"/>
        </w:numPr>
        <w:ind w:right="720"/>
      </w:pPr>
      <w:r>
        <w:t>For Type of Budget use the drop</w:t>
      </w:r>
      <w:r w:rsidR="00AC2771">
        <w:t xml:space="preserve"> down menu</w:t>
      </w:r>
      <w:r>
        <w:t xml:space="preserve"> to indicate if it is a Perm or Temp transfer</w:t>
      </w:r>
    </w:p>
    <w:p w:rsidR="00DB321F" w:rsidRDefault="00DB321F" w:rsidP="00DB321F">
      <w:pPr>
        <w:pStyle w:val="ListParagraph"/>
        <w:numPr>
          <w:ilvl w:val="1"/>
          <w:numId w:val="6"/>
        </w:numPr>
        <w:ind w:right="720"/>
      </w:pPr>
      <w:r>
        <w:t>Enter the BTR#</w:t>
      </w:r>
      <w:r w:rsidR="00A35A4E">
        <w:t xml:space="preserve"> which will automatically fill in the reference number.</w:t>
      </w:r>
    </w:p>
    <w:p w:rsidR="000D7D39" w:rsidRDefault="000D7D39" w:rsidP="000D7D39">
      <w:pPr>
        <w:pStyle w:val="ListParagraph"/>
        <w:ind w:right="720"/>
      </w:pPr>
    </w:p>
    <w:p w:rsidR="00F23CE3" w:rsidRDefault="00F23CE3">
      <w:pPr>
        <w:pStyle w:val="Header"/>
        <w:tabs>
          <w:tab w:val="clear" w:pos="4320"/>
          <w:tab w:val="clear" w:pos="8640"/>
        </w:tabs>
      </w:pPr>
    </w:p>
    <w:p w:rsidR="00F23CE3" w:rsidRDefault="00F23CE3"/>
    <w:p w:rsidR="00F21989" w:rsidRDefault="00F21989" w:rsidP="0065083D">
      <w:pPr>
        <w:rPr>
          <w:b/>
          <w:bCs/>
        </w:rPr>
      </w:pPr>
      <w:r>
        <w:rPr>
          <w:b/>
          <w:bCs/>
        </w:rPr>
        <w:t>SUBMISSION</w:t>
      </w:r>
    </w:p>
    <w:p w:rsidR="00600889" w:rsidRDefault="00600889" w:rsidP="00A9233E">
      <w:pPr>
        <w:ind w:right="720"/>
      </w:pPr>
      <w:r>
        <w:t xml:space="preserve">Budget transfers will </w:t>
      </w:r>
      <w:r w:rsidRPr="00175D2A">
        <w:rPr>
          <w:b/>
        </w:rPr>
        <w:t>only</w:t>
      </w:r>
      <w:r>
        <w:t xml:space="preserve"> be accepted by email</w:t>
      </w:r>
      <w:r w:rsidR="00C50E32">
        <w:t>,</w:t>
      </w:r>
      <w:r w:rsidR="00175D2A">
        <w:t xml:space="preserve"> including those that accompany </w:t>
      </w:r>
      <w:r w:rsidR="0039208A">
        <w:t>letters of appointments, contract, etc.</w:t>
      </w:r>
      <w:r>
        <w:t xml:space="preserve">  The e-mail must come from the e-mail account of t</w:t>
      </w:r>
      <w:r w:rsidR="00A35A4E">
        <w:t>he last approver</w:t>
      </w:r>
      <w:r>
        <w:t xml:space="preserve"> and be sent to </w:t>
      </w:r>
      <w:hyperlink r:id="rId11" w:history="1">
        <w:r w:rsidRPr="008414A0">
          <w:rPr>
            <w:rStyle w:val="Hyperlink"/>
          </w:rPr>
          <w:t>budgetoffice_btr@csuohio.edu</w:t>
        </w:r>
      </w:hyperlink>
      <w:r w:rsidR="000D6AEC">
        <w:rPr>
          <w:rStyle w:val="Hyperlink"/>
          <w:u w:val="none"/>
        </w:rPr>
        <w:t xml:space="preserve"> </w:t>
      </w:r>
      <w:r w:rsidR="000D6AEC">
        <w:rPr>
          <w:rStyle w:val="Hyperlink"/>
          <w:color w:val="auto"/>
          <w:u w:val="none"/>
        </w:rPr>
        <w:t>as an excel file</w:t>
      </w:r>
      <w:r>
        <w:t>.  DO NOT send BTR’s to the Budget Office staff email addresses.</w:t>
      </w:r>
    </w:p>
    <w:p w:rsidR="00600889" w:rsidRDefault="00600889" w:rsidP="00A9233E">
      <w:pPr>
        <w:ind w:right="720"/>
      </w:pPr>
    </w:p>
    <w:p w:rsidR="00F21989" w:rsidRDefault="00C50E32" w:rsidP="00A9233E">
      <w:pPr>
        <w:ind w:right="720"/>
      </w:pPr>
      <w:r>
        <w:t xml:space="preserve">Include the BTR tracking number </w:t>
      </w:r>
      <w:r w:rsidR="00A9233E">
        <w:t xml:space="preserve">in the subject field or it will be returned.  </w:t>
      </w:r>
    </w:p>
    <w:p w:rsidR="00175D2A" w:rsidRDefault="00175D2A" w:rsidP="00A9233E">
      <w:pPr>
        <w:ind w:right="720"/>
      </w:pPr>
    </w:p>
    <w:p w:rsidR="00175D2A" w:rsidRDefault="00196CF2" w:rsidP="00A9233E">
      <w:pPr>
        <w:ind w:right="720"/>
        <w:rPr>
          <w:u w:val="single"/>
        </w:rPr>
      </w:pPr>
      <w:r>
        <w:rPr>
          <w:u w:val="single"/>
        </w:rPr>
        <w:t xml:space="preserve">BTR’S for </w:t>
      </w:r>
      <w:r w:rsidR="00175D2A">
        <w:rPr>
          <w:u w:val="single"/>
        </w:rPr>
        <w:t>LETTERS OF APPOINTMENT, CONTRACTS</w:t>
      </w:r>
      <w:r w:rsidR="00EC31D7">
        <w:rPr>
          <w:u w:val="single"/>
        </w:rPr>
        <w:t>,</w:t>
      </w:r>
      <w:r w:rsidR="00175D2A">
        <w:rPr>
          <w:u w:val="single"/>
        </w:rPr>
        <w:t xml:space="preserve"> ETC.</w:t>
      </w:r>
    </w:p>
    <w:p w:rsidR="00175D2A" w:rsidRDefault="00175D2A" w:rsidP="00A9233E">
      <w:pPr>
        <w:ind w:right="720"/>
      </w:pPr>
    </w:p>
    <w:p w:rsidR="00175D2A" w:rsidRPr="00A35A4E" w:rsidRDefault="00DE0463" w:rsidP="00A9233E">
      <w:pPr>
        <w:ind w:right="720"/>
        <w:rPr>
          <w:b/>
        </w:rPr>
      </w:pPr>
      <w:r>
        <w:t xml:space="preserve">BTR’s that accompany hiring paperwork also need to be emailed to Budget Office.  In the subject field of the email, include the BTR# and the last name of the employee.  The budget office will print the BTR to </w:t>
      </w:r>
      <w:r w:rsidR="0039208A">
        <w:t>match with the hiring paperwork</w:t>
      </w:r>
      <w:r>
        <w:t>.</w:t>
      </w:r>
      <w:r w:rsidR="00A35A4E">
        <w:t xml:space="preserve">  </w:t>
      </w:r>
      <w:r w:rsidR="00A35A4E">
        <w:rPr>
          <w:b/>
        </w:rPr>
        <w:t>Please write the BTR# on the top right corner of the PAW.</w:t>
      </w:r>
    </w:p>
    <w:p w:rsidR="00DE0463" w:rsidRDefault="00DE0463" w:rsidP="00A9233E">
      <w:pPr>
        <w:ind w:right="720"/>
      </w:pPr>
    </w:p>
    <w:p w:rsidR="00DE0463" w:rsidRDefault="00DE0463" w:rsidP="00A9233E">
      <w:pPr>
        <w:ind w:right="720"/>
      </w:pPr>
      <w:r>
        <w:t xml:space="preserve">Non-Academic units should email the BTR when the hiring </w:t>
      </w:r>
      <w:proofErr w:type="spellStart"/>
      <w:r>
        <w:t>f</w:t>
      </w:r>
      <w:r w:rsidR="0039208A">
        <w:t>paperwork</w:t>
      </w:r>
      <w:proofErr w:type="spellEnd"/>
      <w:r>
        <w:t xml:space="preserve"> is </w:t>
      </w:r>
      <w:r w:rsidR="00170690">
        <w:t>forwarded to the Budget Office</w:t>
      </w:r>
      <w:r>
        <w:t xml:space="preserve"> with a notation that the paperwork is </w:t>
      </w:r>
      <w:proofErr w:type="spellStart"/>
      <w:r>
        <w:t>en</w:t>
      </w:r>
      <w:proofErr w:type="spellEnd"/>
      <w:r w:rsidR="007961F6">
        <w:t xml:space="preserve"> </w:t>
      </w:r>
      <w:r>
        <w:t>route.</w:t>
      </w:r>
    </w:p>
    <w:p w:rsidR="00170690" w:rsidRDefault="00170690" w:rsidP="00A9233E">
      <w:pPr>
        <w:ind w:right="720"/>
      </w:pPr>
    </w:p>
    <w:p w:rsidR="00170690" w:rsidRDefault="00170690" w:rsidP="00A9233E">
      <w:pPr>
        <w:ind w:right="720"/>
      </w:pPr>
      <w:r>
        <w:t xml:space="preserve">Academic units should continue to either upload hiring paperwork and BTRs to the Provost shared drive or email to the Provost Office.  </w:t>
      </w:r>
      <w:r w:rsidR="00C50E32">
        <w:t>The Provost office will</w:t>
      </w:r>
      <w:r w:rsidR="00196CF2">
        <w:t xml:space="preserve"> forward the BTR to the Budget O</w:t>
      </w:r>
      <w:r w:rsidR="00C50E32">
        <w:t>ffice on</w:t>
      </w:r>
      <w:r w:rsidR="00475613">
        <w:t>c</w:t>
      </w:r>
      <w:r w:rsidR="00C50E32">
        <w:t>e approved.</w:t>
      </w:r>
    </w:p>
    <w:p w:rsidR="00DE0463" w:rsidRDefault="00DE0463" w:rsidP="00A9233E">
      <w:pPr>
        <w:ind w:right="720"/>
      </w:pPr>
    </w:p>
    <w:p w:rsidR="00DE0463" w:rsidRDefault="00DE0463" w:rsidP="00A9233E">
      <w:pPr>
        <w:ind w:right="720"/>
      </w:pPr>
    </w:p>
    <w:p w:rsidR="00DE0463" w:rsidRPr="00175D2A" w:rsidRDefault="00DE0463" w:rsidP="00A9233E">
      <w:pPr>
        <w:ind w:right="720"/>
      </w:pPr>
    </w:p>
    <w:p w:rsidR="00175D2A" w:rsidRDefault="00175D2A" w:rsidP="00A9233E">
      <w:pPr>
        <w:ind w:right="720"/>
      </w:pPr>
    </w:p>
    <w:p w:rsidR="00175D2A" w:rsidRDefault="00175D2A" w:rsidP="00A9233E">
      <w:pPr>
        <w:ind w:right="720"/>
      </w:pPr>
    </w:p>
    <w:p w:rsidR="00175D2A" w:rsidRDefault="00175D2A" w:rsidP="00A9233E">
      <w:pPr>
        <w:ind w:right="720"/>
      </w:pPr>
    </w:p>
    <w:p w:rsidR="00175D2A" w:rsidRDefault="00175D2A" w:rsidP="00A9233E">
      <w:pPr>
        <w:ind w:right="720"/>
      </w:pPr>
    </w:p>
    <w:p w:rsidR="00175D2A" w:rsidRPr="00175D2A" w:rsidRDefault="00175D2A" w:rsidP="00A9233E">
      <w:pPr>
        <w:ind w:right="720"/>
        <w:rPr>
          <w:b/>
          <w:bCs/>
          <w:u w:val="single"/>
        </w:rPr>
      </w:pPr>
    </w:p>
    <w:p w:rsidR="00510352" w:rsidRDefault="00510352"/>
    <w:p w:rsidR="00510352" w:rsidRDefault="00510352"/>
    <w:p w:rsidR="00510352" w:rsidRDefault="00510352"/>
    <w:p w:rsidR="00510352" w:rsidRDefault="00510352"/>
    <w:sectPr w:rsidR="00510352" w:rsidSect="0043425D">
      <w:footerReference w:type="default" r:id="rId12"/>
      <w:footerReference w:type="first" r:id="rId13"/>
      <w:type w:val="continuous"/>
      <w:pgSz w:w="12240" w:h="15840" w:code="1"/>
      <w:pgMar w:top="1260" w:right="1440" w:bottom="1440" w:left="21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94" w:rsidRDefault="00355F94">
      <w:r>
        <w:separator/>
      </w:r>
    </w:p>
  </w:endnote>
  <w:endnote w:type="continuationSeparator" w:id="0">
    <w:p w:rsidR="00355F94" w:rsidRDefault="003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05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523" w:rsidRDefault="00875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7DD1" w:rsidRPr="0043425D" w:rsidRDefault="00B57DD1" w:rsidP="0043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B" w:rsidRDefault="00D81ACB">
    <w:pPr>
      <w:pStyle w:val="Footer"/>
    </w:pPr>
    <w:r>
      <w:t>Revised 5/2019 Budget Office</w:t>
    </w:r>
  </w:p>
  <w:p w:rsidR="00D81ACB" w:rsidRDefault="00D8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94" w:rsidRDefault="00355F94">
      <w:r>
        <w:separator/>
      </w:r>
    </w:p>
  </w:footnote>
  <w:footnote w:type="continuationSeparator" w:id="0">
    <w:p w:rsidR="00355F94" w:rsidRDefault="0035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EC5"/>
    <w:multiLevelType w:val="hybridMultilevel"/>
    <w:tmpl w:val="2DE8A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836"/>
    <w:multiLevelType w:val="hybridMultilevel"/>
    <w:tmpl w:val="FE2A4D4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501C"/>
    <w:multiLevelType w:val="hybridMultilevel"/>
    <w:tmpl w:val="FF64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3C06"/>
    <w:multiLevelType w:val="hybridMultilevel"/>
    <w:tmpl w:val="F13AE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58A6"/>
    <w:multiLevelType w:val="singleLevel"/>
    <w:tmpl w:val="3EF841FC"/>
    <w:lvl w:ilvl="0">
      <w:start w:val="1"/>
      <w:numFmt w:val="decimal"/>
      <w:lvlText w:val="%1."/>
      <w:legacy w:legacy="1" w:legacySpace="0" w:legacyIndent="360"/>
      <w:lvlJc w:val="left"/>
      <w:pPr>
        <w:ind w:left="792" w:hanging="360"/>
      </w:pPr>
    </w:lvl>
  </w:abstractNum>
  <w:abstractNum w:abstractNumId="5" w15:restartNumberingAfterBreak="0">
    <w:nsid w:val="627C078A"/>
    <w:multiLevelType w:val="singleLevel"/>
    <w:tmpl w:val="3EF841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8"/>
    <w:rsid w:val="00002326"/>
    <w:rsid w:val="000037E2"/>
    <w:rsid w:val="0001006D"/>
    <w:rsid w:val="00027DAD"/>
    <w:rsid w:val="000331F0"/>
    <w:rsid w:val="0006146F"/>
    <w:rsid w:val="0006756A"/>
    <w:rsid w:val="00087DD4"/>
    <w:rsid w:val="000B1924"/>
    <w:rsid w:val="000C3490"/>
    <w:rsid w:val="000C51A1"/>
    <w:rsid w:val="000D6AEC"/>
    <w:rsid w:val="000D7D39"/>
    <w:rsid w:val="000E0CA8"/>
    <w:rsid w:val="00100E45"/>
    <w:rsid w:val="001018D1"/>
    <w:rsid w:val="0016523E"/>
    <w:rsid w:val="00170690"/>
    <w:rsid w:val="00175D2A"/>
    <w:rsid w:val="0018767D"/>
    <w:rsid w:val="00196CF2"/>
    <w:rsid w:val="001C0691"/>
    <w:rsid w:val="001C1A41"/>
    <w:rsid w:val="001C5B21"/>
    <w:rsid w:val="001D4A71"/>
    <w:rsid w:val="00203012"/>
    <w:rsid w:val="00242EE1"/>
    <w:rsid w:val="002728FB"/>
    <w:rsid w:val="00281917"/>
    <w:rsid w:val="00292E94"/>
    <w:rsid w:val="00296AB0"/>
    <w:rsid w:val="002B0E67"/>
    <w:rsid w:val="002C028A"/>
    <w:rsid w:val="002D3022"/>
    <w:rsid w:val="00301969"/>
    <w:rsid w:val="0032574E"/>
    <w:rsid w:val="00334C76"/>
    <w:rsid w:val="0033551E"/>
    <w:rsid w:val="00335554"/>
    <w:rsid w:val="00355F94"/>
    <w:rsid w:val="0039208A"/>
    <w:rsid w:val="003A1E6A"/>
    <w:rsid w:val="004023BC"/>
    <w:rsid w:val="0043425D"/>
    <w:rsid w:val="00475613"/>
    <w:rsid w:val="004774AE"/>
    <w:rsid w:val="004A6A28"/>
    <w:rsid w:val="004C528C"/>
    <w:rsid w:val="004E3502"/>
    <w:rsid w:val="004F6031"/>
    <w:rsid w:val="005011F0"/>
    <w:rsid w:val="00505C9C"/>
    <w:rsid w:val="00506119"/>
    <w:rsid w:val="00510352"/>
    <w:rsid w:val="00545411"/>
    <w:rsid w:val="00551D29"/>
    <w:rsid w:val="00565EF7"/>
    <w:rsid w:val="005E71A8"/>
    <w:rsid w:val="005F0A49"/>
    <w:rsid w:val="00600889"/>
    <w:rsid w:val="006131F8"/>
    <w:rsid w:val="006153E9"/>
    <w:rsid w:val="00621DC0"/>
    <w:rsid w:val="006417F4"/>
    <w:rsid w:val="0065083D"/>
    <w:rsid w:val="00682C77"/>
    <w:rsid w:val="006B555E"/>
    <w:rsid w:val="006E7449"/>
    <w:rsid w:val="006F511F"/>
    <w:rsid w:val="007133AF"/>
    <w:rsid w:val="00714A33"/>
    <w:rsid w:val="00741DF8"/>
    <w:rsid w:val="007961F6"/>
    <w:rsid w:val="007B3C82"/>
    <w:rsid w:val="007F0160"/>
    <w:rsid w:val="00807243"/>
    <w:rsid w:val="00820F65"/>
    <w:rsid w:val="0083223D"/>
    <w:rsid w:val="0083359D"/>
    <w:rsid w:val="008540A5"/>
    <w:rsid w:val="008568D9"/>
    <w:rsid w:val="00860117"/>
    <w:rsid w:val="008612E2"/>
    <w:rsid w:val="00875523"/>
    <w:rsid w:val="00894B76"/>
    <w:rsid w:val="008F6FB7"/>
    <w:rsid w:val="00947821"/>
    <w:rsid w:val="00976B6B"/>
    <w:rsid w:val="009C1CFD"/>
    <w:rsid w:val="009D0B44"/>
    <w:rsid w:val="009D6E4F"/>
    <w:rsid w:val="009F132E"/>
    <w:rsid w:val="009F2345"/>
    <w:rsid w:val="009F673B"/>
    <w:rsid w:val="00A24243"/>
    <w:rsid w:val="00A35A4E"/>
    <w:rsid w:val="00A46B26"/>
    <w:rsid w:val="00A9233E"/>
    <w:rsid w:val="00AC2771"/>
    <w:rsid w:val="00AE6A4F"/>
    <w:rsid w:val="00B2207E"/>
    <w:rsid w:val="00B3026F"/>
    <w:rsid w:val="00B57DD1"/>
    <w:rsid w:val="00B63122"/>
    <w:rsid w:val="00B75B91"/>
    <w:rsid w:val="00B96D76"/>
    <w:rsid w:val="00BE5046"/>
    <w:rsid w:val="00BF6D79"/>
    <w:rsid w:val="00C14E41"/>
    <w:rsid w:val="00C3774F"/>
    <w:rsid w:val="00C407CD"/>
    <w:rsid w:val="00C46065"/>
    <w:rsid w:val="00C50E32"/>
    <w:rsid w:val="00C62381"/>
    <w:rsid w:val="00C6514B"/>
    <w:rsid w:val="00C81441"/>
    <w:rsid w:val="00C85944"/>
    <w:rsid w:val="00C93ABF"/>
    <w:rsid w:val="00CA3507"/>
    <w:rsid w:val="00CB4DF6"/>
    <w:rsid w:val="00CB65E0"/>
    <w:rsid w:val="00CE2737"/>
    <w:rsid w:val="00CF2BEC"/>
    <w:rsid w:val="00D067B3"/>
    <w:rsid w:val="00D1443A"/>
    <w:rsid w:val="00D2348B"/>
    <w:rsid w:val="00D308B6"/>
    <w:rsid w:val="00D81ACB"/>
    <w:rsid w:val="00D90D0D"/>
    <w:rsid w:val="00DB321F"/>
    <w:rsid w:val="00DC4121"/>
    <w:rsid w:val="00DD496A"/>
    <w:rsid w:val="00DD4B16"/>
    <w:rsid w:val="00DE0463"/>
    <w:rsid w:val="00E64F1D"/>
    <w:rsid w:val="00E714B9"/>
    <w:rsid w:val="00E84C91"/>
    <w:rsid w:val="00EB485E"/>
    <w:rsid w:val="00EC28F3"/>
    <w:rsid w:val="00EC31D7"/>
    <w:rsid w:val="00EE3561"/>
    <w:rsid w:val="00F21989"/>
    <w:rsid w:val="00F23CE3"/>
    <w:rsid w:val="00F24DFF"/>
    <w:rsid w:val="00F477C2"/>
    <w:rsid w:val="00F871AC"/>
    <w:rsid w:val="00F91E9B"/>
    <w:rsid w:val="00FD520C"/>
    <w:rsid w:val="00FD77C8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5C855217"/>
  <w15:docId w15:val="{0560B34E-C864-4EAB-B770-E0B5A1F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0D"/>
    <w:rPr>
      <w:rFonts w:ascii="Arial" w:hAnsi="Arial"/>
    </w:rPr>
  </w:style>
  <w:style w:type="paragraph" w:styleId="Heading1">
    <w:name w:val="heading 1"/>
    <w:basedOn w:val="Normal"/>
    <w:next w:val="Normal"/>
    <w:qFormat/>
    <w:rsid w:val="00D90D0D"/>
    <w:pPr>
      <w:keepNext/>
      <w:ind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0D0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0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D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D0D"/>
  </w:style>
  <w:style w:type="paragraph" w:styleId="BodyText">
    <w:name w:val="Body Text"/>
    <w:basedOn w:val="Normal"/>
    <w:rsid w:val="00D90D0D"/>
    <w:pPr>
      <w:ind w:right="720"/>
    </w:pPr>
  </w:style>
  <w:style w:type="paragraph" w:styleId="Title">
    <w:name w:val="Title"/>
    <w:basedOn w:val="Normal"/>
    <w:qFormat/>
    <w:rsid w:val="00D90D0D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894B76"/>
    <w:rPr>
      <w:color w:val="0000FF"/>
      <w:u w:val="single"/>
    </w:rPr>
  </w:style>
  <w:style w:type="paragraph" w:styleId="EndnoteText">
    <w:name w:val="endnote text"/>
    <w:basedOn w:val="Normal"/>
    <w:semiHidden/>
    <w:rsid w:val="006E7449"/>
  </w:style>
  <w:style w:type="character" w:styleId="EndnoteReference">
    <w:name w:val="endnote reference"/>
    <w:basedOn w:val="DefaultParagraphFont"/>
    <w:semiHidden/>
    <w:rsid w:val="006E744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34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3425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7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ohio.edu/budget-financial-analysis/input-forms-and-fringe-rat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getoffice_btr@csuohio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suohio.edu/budget-financial-analysis/input-forms-and-fringe-ra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C"/>
    <w:rsid w:val="00A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A15A49BE4439FA642F0DC9D93FF7B">
    <w:name w:val="176A15A49BE4439FA642F0DC9D93FF7B"/>
    <w:rsid w:val="00AA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B583-6A01-4D6C-A0AD-470CACB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TRANSFER PROCEDURES</vt:lpstr>
    </vt:vector>
  </TitlesOfParts>
  <Company>Cleveland State University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TRANSFER PROCEDURES</dc:title>
  <dc:creator>Beth King</dc:creator>
  <cp:lastModifiedBy>Leigh A Archibald</cp:lastModifiedBy>
  <cp:revision>4</cp:revision>
  <cp:lastPrinted>2019-05-20T16:26:00Z</cp:lastPrinted>
  <dcterms:created xsi:type="dcterms:W3CDTF">2019-05-20T18:55:00Z</dcterms:created>
  <dcterms:modified xsi:type="dcterms:W3CDTF">2019-05-21T14:17:00Z</dcterms:modified>
</cp:coreProperties>
</file>